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80"/>
                    <w:gridCol w:w="1000"/>
                  </w:tblGrid>
                  <w:tr>
                    <w:trPr>
                      <w:trHeight w:hRule="exact" w:val="4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headerMainTitle"/>
                          <w:ind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4140"/>
              <w:gridCol w:w="160"/>
              <w:gridCol w:w="51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De Anza College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Date: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08-31-2025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5E5E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1"/>
              <w:ind/>
            </w:pPr>
            <w:r>
              <w:rPr>
       </w:rPr>
              <w:t xml:space="preserve">Disability Svcs. and Support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EDAC - Educational Access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EDACD001. - Introduction to College and Accommodations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Explain the differences between disability access laws in secondary and post-secondary education.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Articulate their legal rights to educational accommodations, self-advocate, and appropriately utilize De Anza College disability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knowledge of De Anza policies, programs, resources, and services.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EDACD020. - Universal Design and Accessibility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Examine inclusive principles of Universal Design (UD), and applications across varied disciplines such as architecture and urban design, education, engineering, multimedia, technology, and transportation.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common media accessibility barriers experienced by users with sensory impairments.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Analyze and restructure digital documents to improve accessibility.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EDACD230.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EDACD230R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EDACD230S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EDACD230T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EDACD230U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EDACD230V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EDACD230W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EDACD230X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EDACD230Y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EDACD230Z - Vocational Interests and Aptitudes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areas of vocational interest.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develop aptitudes that can enhance work skills.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EDACD231.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EDACD231R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EDACD231S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EDACD231T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EDACD231U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EDACD231V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EDACD231W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EDACD231X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EDACD231Y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EDACD231Z - Workforce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proficiency in 1 or more workplace skills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EDACD232.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EDACD232R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EDACD232S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EDACD232T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EDACD232U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EDACD232V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EDACD232W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EDACD232X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EDACD232Y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2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EDACD232Z - Workplace Culture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discuss 1 or more aspects of workplace culture related to career goals.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EDACD233.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EDACD233R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EDACD233S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EDACD233T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EDACD233U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EDACD233V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EDACD233W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EDACD233X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EDACD233Y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EDACD233Z - Professional Conduct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and demonstrate two or more professional behaviors necessary to the workplace.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EDACD234.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EDACD234R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EDACD234S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EDACD234T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EDACD234U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EDACD234V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EDACD234W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EDACD234X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EDACD234Y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EDACD234Z - Civic Responsibility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one or more community resources.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3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EDACD235.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EDACD235R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EDACD235S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EDACD235T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EDACD235U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EDACD235V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EDACD235W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EDACD235X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EDACD235Y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EDACD235Z - Transition to Campus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the services and resources available for students with disabilities on campus.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EDACD240. - Assistive Technology Access Evaluation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Identify assistive computer technology tools and configurations suitable for their functional limitations.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assistive computer technology tools and strategies to compensate for their functional limitations.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EDACD245. - Assistive Technology Access (Windows)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the ability to independently employ assistive computer technology appropriate to their needs in the context of basic computer management, word processing, and Internet browsing.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EDACD290X - Assistive Technology Access Practice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skills and strategies with using individually identified assistive computer technology at a level that supports their academic needs.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 plan for further use of assistive computer technology outside the campus setting.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EDACD290Y - Assistive Technology Access Practice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skills and strategies with using individually identified assistive computer technology at a level that supports their academic needs.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Develop a plan for further use of assistive computer technology outside the campus setting.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EDACD300. - Workplace Communication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assertive communication in appropriate role play situations.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Practice the role of non-verbal language in the communication process.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EDACD304. - Soft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Exhibit soft skills to interact appropriately and harmoniously with others.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EDACD307. - Notetaking Technologies and Strategies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Evaluate current digital note-taking technologies and supporting mobile applications.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Summarize best practices related to digital note-taking systems.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EDACD312. - Basic English Skills for Students with Disabilities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Respond analytically and critically to readings.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Create a proper and organized paragraph.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4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EDACD313. - Basic Math Skills for Students with Disabilities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skills in basic arithmetic and be able to calculate using fractions, decimals, and percent.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L S - Learning Strategies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 SD050. - Student Success Strategies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Formulate an individualized study strategy which include accommodations and advocacy for their specific disability.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study techniques by utilizing individualized study strategies and apply it in other course(s).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 SD207. - Introductory Writing and Grammar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Compose an appropriately structured paragraph.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standard grammar and punctuation in their written work.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 SD209. - Arithmetic Skills and Strategies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skills in basic arithmetic and be able to calculate using fractions, decimals numbers, and percents.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 SD211. - Algebra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Utilize the applications of the real number system.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PEA - Physical Ed./Adapted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PEAD001. - Adapted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he/she will be able to demonstrate that his/her physical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the context of a student's disability, that his/her psychosocial well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PEAD001X - Adapted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he/she will be able to demonstrate that his/her physical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the context of a student's disability, that his/her psychosocial well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PEAD001Y - Adapted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he/she will be able to demonstrate that his/her physical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the context of a student's disability, that his/her psychosocial well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PEAD001Z - Adapted Total Fitness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he/she will be able to demonstrate that his/her physical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the context of a student's disability, that his/her psychosocial well being has been positively affected through the Adapted Total Fitness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PEAD002. - Adapted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his/her physical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his/her psychosocial well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PEAD002X - Adapted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his/her physical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his/her psychosocial well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PEAD002Y - Adapted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his/her physical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his/her psychosocial well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5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  <w:jc w:val="right"/>
                        </w:pPr>
                        <w:r>
                          <w:rPr>
       </w:rPr>
                          <w:t xml:space="preserve">DSPS_CSLOs_2024-25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PEAD002Z - Adapted Strength Development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his/her physical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Within the context of a student's disability, his/her psychosocial well being has been positively affected through the Adapted Strength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PEAD004. - Adapted Cardiovascular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physical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 psychosocial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PEAD004X - Adapted Cardiovascular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physical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psychosocial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PEAD004Y - Adapted Cardiovascular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physical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psychosocial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PEAD004Z - Adapted Cardiovascular Training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physical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 psychosocial well being has been positively affected through the Adapted Cardiovascular Training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PEAD005. - Adapted Aquatic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physical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psychosocial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PEAD005X - Adapted Aquatic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physical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psychosocial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PEAD005Y - Adapted Aquatic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physical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psychosocial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PEAD005Z - Adapted Aquatic Exercise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physical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that the student's psychosocial well being has been positively affected through the Adapted Aquatics course.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PEAD015. - Adapted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cardio-respiratory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aerobic and anaerobic training techniques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PEAD015X - Adapted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cardio-respiratory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aerobic and anaerobic training techniques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PEAD015Y - Adapted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cardio-respiratory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aerobic and anaerobic training techniques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PEAD015Z - Adapted Aerobic Swimming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 cardio-respiratory endurance.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aerobic and anaerobic training techniques to health and fitness.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6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2:20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720" w:right="460" w:bottom="360" w:left="10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frameH1">
    <w:name w:val="frameH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frameH2">
    <w:name w:val="frameH2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H1">
    <w:name w:val="H1"/>
    <w:qFormat/>
    <w:pPr>
      <w:ind/>
      <w:jc w:val="center"/>
    </w:pPr>
    <w:rPr>
      <w:rFonts w:ascii="SansSerif" w:hAnsi="SansSerif" w:eastAsia="SansSerif" w:cs="SansSerif"/>
      <w:color w:val="000000"/>
      <w:sz w:val="30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6"/>
      <w:b w:val="true"/>
    </w:rPr>
  </w:style>
  <w:style w:type="paragraph" w:styleId="H3">
    <w:name w:val="H3"/>
    <w:qFormat/>
    <w:pPr>
      <w:ind/>
    </w:pPr>
    <w:rPr>
      <w:rFonts w:ascii="SansSerif" w:hAnsi="SansSerif" w:eastAsia="SansSerif" w:cs="SansSerif"/>
      <w:color w:val="000000"/>
      <w:sz w:val="22"/>
      <w:b w:val="true"/>
      <w:i w:val="true"/>
    </w:rPr>
  </w:style>
  <w:style w:type="paragraph" w:styleId="p">
    <w:name w:val="p"/>
    <w:qFormat/>
    <w:pPr>
      <w:ind/>
      <w:jc w:val="left"/>
    </w:pPr>
    <w:rPr>
      <w:rFonts w:ascii="Serif" w:hAnsi="Serif" w:eastAsia="Serif" w:cs="Serif"/>
      <w:color w:val="000000"/>
      <w:sz w:val="20"/>
    </w:rPr>
  </w:style>
  <w:style w:type="paragraph" w:styleId="headerLeft">
    <w:name w:val="head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  <w:style w:type="paragraph" w:styleId="headerMainTitle">
    <w:name w:val="headerMainTitle"/>
    <w:qFormat/>
    <w:pPr>
      <w:ind/>
      <w:jc w:val="left"/>
    </w:pPr>
    <w:rPr>
      <w:rFonts w:ascii="OpenSans" w:hAnsi="OpenSans" w:eastAsia="OpenSans" w:cs="OpenSans"/>
      <w:color w:val="000000"/>
      <w:sz w:val="34"/>
    </w:rPr>
  </w:style>
  <w:style w:type="paragraph" w:styleId="pSmall">
    <w:name w:val="pSmall"/>
    <w:qFormat/>
    <w:pPr>
      <w:ind/>
      <w:jc w:val="left"/>
    </w:pPr>
    <w:rPr>
      <w:rFonts w:ascii="SansSerif" w:hAnsi="SansSerif" w:eastAsia="SansSerif" w:cs="SansSerif"/>
      <w:color w:val="000000"/>
      <w:sz w:val="14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0"/>
      <w:b w:val="true"/>
    </w:rPr>
  </w:style>
  <w:style w:type="paragraph" w:styleId="h3">
    <w:name w:val="h3"/>
    <w:qFormat/>
    <w:pPr>
      <w:ind/>
      <w:jc w:val="left"/>
    </w:pPr>
    <w:rPr>
      <w:rFonts w:ascii="SansSerif" w:hAnsi="SansSerif" w:eastAsia="SansSerif" w:cs="SansSerif"/>
      <w:color w:val="000000"/>
      <w:sz w:val="20"/>
    </w:rPr>
  </w:style>
  <w:style w:type="paragraph" w:styleId="footerLeft">
    <w:name w:val="foot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