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7200"/>
        <w:gridCol w:w="900"/>
        <w:gridCol w:w="1600"/>
        <w:gridCol w:w="380"/>
        <w:gridCol w:w="6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80"/>
              <w:gridCol w:w="10080"/>
            </w:tblGrid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760"/>
                    <w:gridCol w:w="532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pStyle w:val="headerLeft"/>
                          <w:ind/>
                        </w:pPr>
                        <w:r>
                          <w:rPr>
       </w:rPr>
                          <w:t xml:space="preserve">De Anza College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80"/>
                    <w:gridCol w:w="1000"/>
                  </w:tblGrid>
                  <w:tr>
                    <w:trPr>
                      <w:trHeight w:hRule="exact" w:val="4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headerMainTitle"/>
                          <w:ind/>
                        </w:pPr>
                        <w:r>
                          <w:rPr>
       </w:rPr>
                          <w:t xml:space="preserve">LR_CSLOs_2024-25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4140"/>
              <w:gridCol w:w="160"/>
              <w:gridCol w:w="518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ind/>
                  </w:pPr>
                  <w:r>
                    <w:rPr>
       </w:rPr>
                    <w:t xml:space="preserve">De Anza College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ind/>
                  </w:pPr>
                  <w:r>
                    <w:rPr>
       </w:rPr>
                    <w:t xml:space="preserve">Date: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p"/>
                    <w:ind/>
                  </w:pPr>
                  <w:r>
                    <w:rPr>
       </w:rPr>
                    <w:t xml:space="preserve">08-31-2025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5E5E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top"/>
          </w:tcPr>
          <w:p>
            <w:pPr>
              <w:pStyle w:val="frameH1"/>
              <w:ind/>
            </w:pPr>
            <w:r>
              <w:rPr>
       </w:rPr>
              <w:t xml:space="preserve">Learning Resources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top"/>
          </w:tcPr>
          <w:p>
            <w:pPr>
              <w:pStyle w:val="frameH2"/>
              <w:ind/>
            </w:pPr>
            <w:r>
              <w:rPr>
       </w:rPr>
              <w:t xml:space="preserve">LIB - Library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2"/>
                    <w:ind/>
                  </w:pPr>
                  <w:r>
                    <w:rPr>
       </w:rPr>
                    <w:t xml:space="preserve">CSLO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LIBD001. - Library Research Skills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Evaluate several databases and select the appropriate one to find needed information.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LIBD053. - Advanced Internet Searching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Find and evaluate authoritative Internet sites that provide reliable source material.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top"/>
          </w:tcPr>
          <w:p>
            <w:pPr>
              <w:pStyle w:val="frameH2"/>
              <w:ind/>
            </w:pPr>
            <w:r>
              <w:rPr>
       </w:rPr>
              <w:t xml:space="preserve">LRNA - Learning Assistance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2"/>
                    <w:ind/>
                  </w:pPr>
                  <w:r>
                    <w:rPr>
       </w:rPr>
                    <w:t xml:space="preserve">CSLO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LRNAD077. - Special Projects in Learning Assistance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Demonstrate, via a culmination of the aims and methods specified in sections 3, 4, and 5 of the Special Projects contract, a mastery of the relevant overarching concepts.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LRNAD096. - Introduction to Individual and Group Peer Tutoring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Plan and conduct tutoring sessions using student-centered communication strategies.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appropriate tutoring strategies for helping students at various levels.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Adapt communication and tutoring practices to students from diverse backgrounds and with diverse learning styles.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Student tutors will be able to demonstrate professional and ethical behavior when tutoring.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LRNAD097. - Introduction to Peer Tutoring in Writing and Reading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Plan and conduct tutoring sessions using student-centered communication strategies.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Apply appropriate tutoring strategies for helping students at various levels.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Adapt communication and tutoring practices to students from diverse backgrounds and with diverse learning styles.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After completing this course, and in the context of tutoring at a designated De Anza center, student tutors will be able to: Demonstrate professional and ethical behavior when tutoring.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LRNAD098. - Tutor Training for Math/Science Tutors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Student tutors will be able to apply approaches and techniques learned in class to conduct effective tutoring sessions using student-centered communication strategies.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top"/>
          </w:tcPr>
          <w:p>
            <w:pPr>
              <w:pStyle w:val="frameH2"/>
              <w:ind/>
            </w:pPr>
            <w:r>
              <w:rPr>
       </w:rPr>
              <w:t xml:space="preserve">SKIL - Skills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"/>
              <w:gridCol w:w="300"/>
              <w:gridCol w:w="9600"/>
              <w:gridCol w:w="20"/>
              <w:gridCol w:w="8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2"/>
                    <w:ind/>
                  </w:pPr>
                  <w:r>
                    <w:rPr>
       </w:rPr>
                    <w:t xml:space="preserve">CSLO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h3"/>
                    <w:ind/>
                  </w:pPr>
                  <w:r>
                    <w:rPr>
       </w:rPr>
                    <w:t xml:space="preserve">    SKILD050. - How to Succeed in an Online Class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Use a course management system to complete course activities.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Interact with the instructor and classmates in the online environment.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Assess personal readiness for success in online courses.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pSmall"/>
                    <w:ind/>
                  </w:pPr>
                  <w:r>
                    <w:rPr>
       </w:rPr>
                    <w:t xml:space="preserve">• Create a plan for online success.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Page 1 of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OpenSans" w:hAnsi="OpenSans" w:eastAsia="OpenSans" w:cs="OpenSans"/>
                <w:color w:val="666666"/>
                <w:sz w:val="20"/>
              </w:rPr>
              <w:t xml:space="preserve">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footerLeft"/>
              <w:ind/>
            </w:pPr>
            <w:r>
              <w:rPr>
       </w:rPr>
              <w:t xml:space="preserve">August 31, 2025 3:17 PM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720" w:right="460" w:bottom="360" w:left="10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frameH1">
    <w:name w:val="frameH1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  <w:style w:type="paragraph" w:styleId="frameH2">
    <w:name w:val="frameH2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H1">
    <w:name w:val="H1"/>
    <w:qFormat/>
    <w:pPr>
      <w:ind/>
      <w:jc w:val="center"/>
    </w:pPr>
    <w:rPr>
      <w:rFonts w:ascii="SansSerif" w:hAnsi="SansSerif" w:eastAsia="SansSerif" w:cs="SansSerif"/>
      <w:color w:val="000000"/>
      <w:sz w:val="30"/>
    </w:rPr>
  </w:style>
  <w:style w:type="paragraph" w:styleId="H2">
    <w:name w:val="H2"/>
    <w:qFormat/>
    <w:pPr>
      <w:ind/>
      <w:jc w:val="left"/>
    </w:pPr>
    <w:rPr>
      <w:rFonts w:ascii="SansSerif" w:hAnsi="SansSerif" w:eastAsia="SansSerif" w:cs="SansSerif"/>
      <w:color w:val="000000"/>
      <w:sz w:val="26"/>
      <w:b w:val="true"/>
    </w:rPr>
  </w:style>
  <w:style w:type="paragraph" w:styleId="H3">
    <w:name w:val="H3"/>
    <w:qFormat/>
    <w:pPr>
      <w:ind/>
    </w:pPr>
    <w:rPr>
      <w:rFonts w:ascii="SansSerif" w:hAnsi="SansSerif" w:eastAsia="SansSerif" w:cs="SansSerif"/>
      <w:color w:val="000000"/>
      <w:sz w:val="22"/>
      <w:b w:val="true"/>
      <w:i w:val="true"/>
    </w:rPr>
  </w:style>
  <w:style w:type="paragraph" w:styleId="p">
    <w:name w:val="p"/>
    <w:qFormat/>
    <w:pPr>
      <w:ind/>
      <w:jc w:val="left"/>
    </w:pPr>
    <w:rPr>
      <w:rFonts w:ascii="Serif" w:hAnsi="Serif" w:eastAsia="Serif" w:cs="Serif"/>
      <w:color w:val="000000"/>
      <w:sz w:val="20"/>
    </w:rPr>
  </w:style>
  <w:style w:type="paragraph" w:styleId="headerLeft">
    <w:name w:val="headerLeft"/>
    <w:qFormat/>
    <w:pPr>
      <w:ind/>
      <w:jc w:val="left"/>
    </w:pPr>
    <w:rPr>
      <w:rFonts w:ascii="OpenSans" w:hAnsi="OpenSans" w:eastAsia="OpenSans" w:cs="OpenSans"/>
      <w:color w:val="666666"/>
      <w:sz w:val="20"/>
    </w:rPr>
  </w:style>
  <w:style w:type="paragraph" w:styleId="headerMainTitle">
    <w:name w:val="headerMainTitle"/>
    <w:qFormat/>
    <w:pPr>
      <w:ind/>
      <w:jc w:val="left"/>
    </w:pPr>
    <w:rPr>
      <w:rFonts w:ascii="OpenSans" w:hAnsi="OpenSans" w:eastAsia="OpenSans" w:cs="OpenSans"/>
      <w:color w:val="000000"/>
      <w:sz w:val="34"/>
    </w:rPr>
  </w:style>
  <w:style w:type="paragraph" w:styleId="pSmall">
    <w:name w:val="pSmall"/>
    <w:qFormat/>
    <w:pPr>
      <w:ind/>
      <w:jc w:val="left"/>
    </w:pPr>
    <w:rPr>
      <w:rFonts w:ascii="SansSerif" w:hAnsi="SansSerif" w:eastAsia="SansSerif" w:cs="SansSerif"/>
      <w:color w:val="000000"/>
      <w:sz w:val="14"/>
    </w:rPr>
  </w:style>
  <w:style w:type="paragraph" w:styleId="h2">
    <w:name w:val="h2"/>
    <w:qFormat/>
    <w:pPr>
      <w:ind/>
      <w:jc w:val="left"/>
    </w:pPr>
    <w:rPr>
      <w:rFonts w:ascii="SansSerif" w:hAnsi="SansSerif" w:eastAsia="SansSerif" w:cs="SansSerif"/>
      <w:color w:val="000000"/>
      <w:sz w:val="20"/>
      <w:b w:val="true"/>
    </w:rPr>
  </w:style>
  <w:style w:type="paragraph" w:styleId="h3">
    <w:name w:val="h3"/>
    <w:qFormat/>
    <w:pPr>
      <w:ind/>
      <w:jc w:val="left"/>
    </w:pPr>
    <w:rPr>
      <w:rFonts w:ascii="SansSerif" w:hAnsi="SansSerif" w:eastAsia="SansSerif" w:cs="SansSerif"/>
      <w:color w:val="000000"/>
      <w:sz w:val="20"/>
    </w:rPr>
  </w:style>
  <w:style w:type="paragraph" w:styleId="footerLeft">
    <w:name w:val="footerLeft"/>
    <w:qFormat/>
    <w:pPr>
      <w:ind/>
      <w:jc w:val="left"/>
    </w:pPr>
    <w:rPr>
      <w:rFonts w:ascii="OpenSans" w:hAnsi="OpenSans" w:eastAsia="OpenSans" w:cs="OpenSans"/>
      <w:color w:val="666666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